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0" w:rsidRDefault="00E71E50" w:rsidP="00375F44">
      <w:pPr>
        <w:ind w:firstLine="42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Приложение №1</w:t>
      </w:r>
    </w:p>
    <w:p w:rsidR="00E71E50" w:rsidRDefault="00E71E50" w:rsidP="00375F44">
      <w:pPr>
        <w:ind w:firstLine="426"/>
        <w:jc w:val="center"/>
        <w:rPr>
          <w:b/>
        </w:rPr>
      </w:pPr>
      <w:r>
        <w:rPr>
          <w:b/>
        </w:rPr>
        <w:t>Замечания</w:t>
      </w:r>
      <w:r w:rsidR="0017476F">
        <w:rPr>
          <w:b/>
        </w:rPr>
        <w:t xml:space="preserve"> и предложения</w:t>
      </w:r>
    </w:p>
    <w:p w:rsidR="00EE6B71" w:rsidRPr="00871EC2" w:rsidRDefault="00E71E50" w:rsidP="00375F44">
      <w:pPr>
        <w:ind w:firstLine="426"/>
        <w:jc w:val="center"/>
        <w:rPr>
          <w:b/>
        </w:rPr>
      </w:pPr>
      <w:r>
        <w:rPr>
          <w:b/>
        </w:rPr>
        <w:t>п</w:t>
      </w:r>
      <w:r w:rsidR="00CB3E0A" w:rsidRPr="00871EC2">
        <w:rPr>
          <w:b/>
        </w:rPr>
        <w:t xml:space="preserve">о проекту Правил землепользования и застройки </w:t>
      </w:r>
      <w:r w:rsidR="00375F44" w:rsidRPr="00871EC2">
        <w:rPr>
          <w:b/>
        </w:rPr>
        <w:t xml:space="preserve">(ПЗЗ) </w:t>
      </w:r>
      <w:r w:rsidR="00CB3E0A" w:rsidRPr="00871EC2">
        <w:rPr>
          <w:b/>
        </w:rPr>
        <w:t>муниципального образования городской округ город Омск Омской области</w:t>
      </w:r>
    </w:p>
    <w:p w:rsidR="00CB3E0A" w:rsidRDefault="00CB3E0A" w:rsidP="00CB3E0A">
      <w:pPr>
        <w:ind w:firstLine="426"/>
        <w:jc w:val="left"/>
      </w:pPr>
    </w:p>
    <w:p w:rsidR="00CB3E0A" w:rsidRDefault="00CB3E0A" w:rsidP="00E61255">
      <w:pPr>
        <w:ind w:firstLine="426"/>
        <w:jc w:val="both"/>
      </w:pPr>
      <w:r>
        <w:t xml:space="preserve">1.  В качестве одного из </w:t>
      </w:r>
      <w:r w:rsidRPr="00CB3E0A">
        <w:rPr>
          <w:sz w:val="23"/>
          <w:szCs w:val="23"/>
        </w:rPr>
        <w:t>предельных параметров разрешенного строительства вводится «</w:t>
      </w:r>
      <w:r w:rsidRPr="00CB3E0A">
        <w:rPr>
          <w:b/>
        </w:rPr>
        <w:t>максимальный коэффициент плотности застройки в границах земельного участка»,</w:t>
      </w:r>
      <w:r w:rsidRPr="000D6F1A">
        <w:t xml:space="preserve"> определяется как отношение суммарной площади всех надземных этажей зданий, сооружений, расположенных на земельном участке, в границах внешнего контура наружных стен, к площади этого земельного участка.</w:t>
      </w:r>
    </w:p>
    <w:p w:rsidR="009F03B4" w:rsidRDefault="009F03B4" w:rsidP="00E61255">
      <w:pPr>
        <w:ind w:firstLine="426"/>
        <w:jc w:val="both"/>
      </w:pPr>
      <w:r>
        <w:t>Также в новых ПЗЗ сказано: «</w:t>
      </w:r>
      <w:r w:rsidRPr="009F03B4">
        <w:t xml:space="preserve">При получении разрешения на отклонение предельных параметров разрешенного строительства, реконструкции объектов капитального строительства максимальный коэффициент плотности застройки, установленный применительно к территориальной зоне, обозначенной на карте градостроительного зонирования, для соответствующего вида разрешенного использования, </w:t>
      </w:r>
      <w:r w:rsidRPr="00AF522A">
        <w:rPr>
          <w:b/>
        </w:rPr>
        <w:t>не может быть изменен в большую сторону</w:t>
      </w:r>
      <w:r>
        <w:t>».</w:t>
      </w:r>
    </w:p>
    <w:p w:rsidR="00CB3E0A" w:rsidRDefault="00184B81" w:rsidP="00E61255">
      <w:pPr>
        <w:ind w:firstLine="426"/>
        <w:jc w:val="both"/>
      </w:pPr>
      <w:r>
        <w:t xml:space="preserve">Значение этого коэффициента </w:t>
      </w:r>
      <w:r w:rsidRPr="009F03B4">
        <w:rPr>
          <w:b/>
        </w:rPr>
        <w:t>1,5</w:t>
      </w:r>
      <w:r>
        <w:t xml:space="preserve"> для жилья в территориальной зоне </w:t>
      </w:r>
      <w:r w:rsidR="00E61255">
        <w:t xml:space="preserve">жилой застройки </w:t>
      </w:r>
      <w:r>
        <w:t xml:space="preserve">высокой </w:t>
      </w:r>
      <w:r w:rsidR="00E61255">
        <w:t>этажности</w:t>
      </w:r>
      <w:r>
        <w:t xml:space="preserve"> (Ж-4) вызывает серьезные опасения. В настоящее время при застройке жилыми зданиями 14</w:t>
      </w:r>
      <w:r w:rsidR="009F03B4">
        <w:t>-15</w:t>
      </w:r>
      <w:r>
        <w:t xml:space="preserve"> </w:t>
      </w:r>
      <w:r w:rsidR="009F03B4">
        <w:t xml:space="preserve">жилых этажей </w:t>
      </w:r>
      <w:r>
        <w:t>коэффициент плотности находится в пределах 2,3 – 2,8</w:t>
      </w:r>
      <w:r w:rsidR="00375F44">
        <w:t>,</w:t>
      </w:r>
      <w:r>
        <w:t xml:space="preserve"> иногда достигает 3,0.</w:t>
      </w:r>
    </w:p>
    <w:p w:rsidR="00E61255" w:rsidRDefault="00E61255" w:rsidP="00CB3E0A">
      <w:pPr>
        <w:ind w:firstLine="426"/>
        <w:jc w:val="left"/>
      </w:pPr>
    </w:p>
    <w:p w:rsidR="00184B81" w:rsidRDefault="00E61255" w:rsidP="00375F44">
      <w:pPr>
        <w:ind w:firstLine="426"/>
        <w:jc w:val="center"/>
      </w:pPr>
      <w:r>
        <w:t>В</w:t>
      </w:r>
      <w:r w:rsidR="00184B81">
        <w:t xml:space="preserve">ыборка по </w:t>
      </w:r>
      <w:r>
        <w:t xml:space="preserve">некоторым </w:t>
      </w:r>
      <w:r w:rsidR="00184B81">
        <w:t>объектам застройщика «Трест №4»</w:t>
      </w:r>
    </w:p>
    <w:tbl>
      <w:tblPr>
        <w:tblStyle w:val="a4"/>
        <w:tblW w:w="9503" w:type="dxa"/>
        <w:tblCellMar>
          <w:left w:w="0" w:type="dxa"/>
          <w:right w:w="0" w:type="dxa"/>
        </w:tblCellMar>
        <w:tblLook w:val="04A0"/>
      </w:tblPr>
      <w:tblGrid>
        <w:gridCol w:w="329"/>
        <w:gridCol w:w="2723"/>
        <w:gridCol w:w="678"/>
        <w:gridCol w:w="673"/>
        <w:gridCol w:w="985"/>
        <w:gridCol w:w="673"/>
        <w:gridCol w:w="653"/>
        <w:gridCol w:w="985"/>
        <w:gridCol w:w="681"/>
        <w:gridCol w:w="1123"/>
      </w:tblGrid>
      <w:tr w:rsidR="00E61255" w:rsidTr="008169BA">
        <w:tc>
          <w:tcPr>
            <w:tcW w:w="329" w:type="dxa"/>
            <w:vMerge w:val="restart"/>
            <w:vAlign w:val="center"/>
          </w:tcPr>
          <w:p w:rsidR="00E61255" w:rsidRPr="00E34107" w:rsidRDefault="00E61255" w:rsidP="008169BA">
            <w:pPr>
              <w:ind w:left="0"/>
              <w:jc w:val="center"/>
            </w:pPr>
            <w:r>
              <w:t>№</w:t>
            </w:r>
          </w:p>
        </w:tc>
        <w:tc>
          <w:tcPr>
            <w:tcW w:w="2723" w:type="dxa"/>
            <w:vMerge w:val="restart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Наименование объекта</w:t>
            </w:r>
          </w:p>
        </w:tc>
        <w:tc>
          <w:tcPr>
            <w:tcW w:w="2336" w:type="dxa"/>
            <w:gridSpan w:val="3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Фактические показатели уже построенных или проектируемых домов</w:t>
            </w:r>
          </w:p>
          <w:p w:rsidR="00E61255" w:rsidRDefault="00E61255" w:rsidP="008169BA">
            <w:pPr>
              <w:ind w:left="0"/>
              <w:jc w:val="center"/>
            </w:pPr>
            <w:proofErr w:type="gramStart"/>
            <w:r>
              <w:t>по</w:t>
            </w:r>
            <w:proofErr w:type="gramEnd"/>
            <w:r>
              <w:t xml:space="preserve"> старым ПЗЗ</w:t>
            </w:r>
          </w:p>
        </w:tc>
        <w:tc>
          <w:tcPr>
            <w:tcW w:w="2311" w:type="dxa"/>
            <w:gridSpan w:val="3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Показатели,</w:t>
            </w:r>
          </w:p>
          <w:p w:rsidR="00E61255" w:rsidRDefault="00E61255" w:rsidP="008169BA">
            <w:pPr>
              <w:ind w:left="0"/>
              <w:jc w:val="center"/>
            </w:pPr>
            <w:r>
              <w:t>которые будут или были бы</w:t>
            </w:r>
          </w:p>
          <w:p w:rsidR="00E61255" w:rsidRDefault="00E61255" w:rsidP="008169BA">
            <w:pPr>
              <w:ind w:left="0"/>
              <w:jc w:val="center"/>
            </w:pPr>
            <w:r>
              <w:t xml:space="preserve">при новых ПЗЗ   </w:t>
            </w:r>
          </w:p>
        </w:tc>
        <w:tc>
          <w:tcPr>
            <w:tcW w:w="1804" w:type="dxa"/>
            <w:gridSpan w:val="2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«Потери» застройщика</w:t>
            </w:r>
          </w:p>
        </w:tc>
      </w:tr>
      <w:tr w:rsidR="00E61255" w:rsidTr="008169BA">
        <w:trPr>
          <w:cantSplit/>
          <w:trHeight w:val="1868"/>
        </w:trPr>
        <w:tc>
          <w:tcPr>
            <w:tcW w:w="329" w:type="dxa"/>
            <w:vMerge/>
            <w:vAlign w:val="center"/>
          </w:tcPr>
          <w:p w:rsidR="00E61255" w:rsidRDefault="00E61255" w:rsidP="008169BA">
            <w:pPr>
              <w:ind w:left="0"/>
              <w:jc w:val="center"/>
            </w:pPr>
          </w:p>
        </w:tc>
        <w:tc>
          <w:tcPr>
            <w:tcW w:w="2723" w:type="dxa"/>
            <w:vMerge/>
            <w:vAlign w:val="center"/>
          </w:tcPr>
          <w:p w:rsidR="00E61255" w:rsidRDefault="00E61255" w:rsidP="008169BA">
            <w:pPr>
              <w:ind w:left="0"/>
              <w:jc w:val="center"/>
            </w:pPr>
          </w:p>
        </w:tc>
        <w:tc>
          <w:tcPr>
            <w:tcW w:w="678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этажность</w:t>
            </w:r>
          </w:p>
          <w:p w:rsidR="00E61255" w:rsidRDefault="00E61255" w:rsidP="008169BA">
            <w:pPr>
              <w:ind w:left="0"/>
              <w:jc w:val="center"/>
            </w:pPr>
            <w:r>
              <w:t xml:space="preserve">без </w:t>
            </w:r>
            <w:proofErr w:type="spellStart"/>
            <w:r>
              <w:t>техэтажа</w:t>
            </w:r>
            <w:proofErr w:type="spellEnd"/>
          </w:p>
        </w:tc>
        <w:tc>
          <w:tcPr>
            <w:tcW w:w="673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proofErr w:type="spellStart"/>
            <w:r>
              <w:t>коэф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плотности застройки</w:t>
            </w:r>
          </w:p>
        </w:tc>
        <w:tc>
          <w:tcPr>
            <w:tcW w:w="985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общая площадь квартир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673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этажность</w:t>
            </w:r>
          </w:p>
          <w:p w:rsidR="00E61255" w:rsidRDefault="00E61255" w:rsidP="008169BA">
            <w:pPr>
              <w:ind w:left="0"/>
              <w:jc w:val="center"/>
            </w:pPr>
            <w:r>
              <w:t xml:space="preserve">без </w:t>
            </w:r>
            <w:proofErr w:type="spellStart"/>
            <w:r>
              <w:t>техэтажа</w:t>
            </w:r>
            <w:proofErr w:type="spellEnd"/>
          </w:p>
        </w:tc>
        <w:tc>
          <w:tcPr>
            <w:tcW w:w="653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proofErr w:type="spellStart"/>
            <w:r>
              <w:t>коэф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плотности застройки</w:t>
            </w:r>
          </w:p>
        </w:tc>
        <w:tc>
          <w:tcPr>
            <w:tcW w:w="985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общая площадь квартир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681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этажность</w:t>
            </w:r>
          </w:p>
          <w:p w:rsidR="00E61255" w:rsidRDefault="00E61255" w:rsidP="008169BA">
            <w:pPr>
              <w:ind w:left="0"/>
              <w:jc w:val="center"/>
            </w:pPr>
            <w:r>
              <w:t xml:space="preserve">без </w:t>
            </w:r>
            <w:proofErr w:type="spellStart"/>
            <w:r>
              <w:t>техэтажа</w:t>
            </w:r>
            <w:proofErr w:type="spellEnd"/>
          </w:p>
        </w:tc>
        <w:tc>
          <w:tcPr>
            <w:tcW w:w="1123" w:type="dxa"/>
            <w:textDirection w:val="btLr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общая площадь квартир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>Строящийся дом по ул</w:t>
            </w:r>
            <w:proofErr w:type="gramStart"/>
            <w:r>
              <w:t>.Я</w:t>
            </w:r>
            <w:proofErr w:type="gramEnd"/>
            <w:r>
              <w:t>ковлева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14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2,67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D61A2A">
              <w:t>9713,05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7,9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3A4E80">
              <w:t>5446,2</w:t>
            </w:r>
            <w:r>
              <w:t>5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-6,75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-4266,8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2</w:t>
            </w:r>
          </w:p>
        </w:tc>
        <w:tc>
          <w:tcPr>
            <w:tcW w:w="2723" w:type="dxa"/>
          </w:tcPr>
          <w:p w:rsidR="00E61255" w:rsidRPr="00E61255" w:rsidRDefault="00E61255" w:rsidP="008169BA">
            <w:pPr>
              <w:ind w:left="85" w:right="141"/>
              <w:jc w:val="left"/>
              <w:rPr>
                <w:sz w:val="20"/>
                <w:szCs w:val="20"/>
              </w:rPr>
            </w:pPr>
            <w:r w:rsidRPr="00E61255">
              <w:rPr>
                <w:sz w:val="20"/>
                <w:szCs w:val="20"/>
              </w:rPr>
              <w:t>Перспективный дом по ул. Гагарина- ул</w:t>
            </w:r>
            <w:proofErr w:type="gramStart"/>
            <w:r w:rsidRPr="00E61255">
              <w:rPr>
                <w:sz w:val="20"/>
                <w:szCs w:val="20"/>
              </w:rPr>
              <w:t>.Я</w:t>
            </w:r>
            <w:proofErr w:type="gramEnd"/>
            <w:r w:rsidRPr="00E61255">
              <w:rPr>
                <w:sz w:val="20"/>
                <w:szCs w:val="20"/>
              </w:rPr>
              <w:t>ковлева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14-15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2,38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3A4E80">
              <w:t>6756,08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9,1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3A4E80">
              <w:t>7877,25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-5,9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-4391,5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3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>«Прибрежный-2» Строящийся дом №1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15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2,36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1860C4">
              <w:t>44422,88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9,5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 w:rsidRPr="001860C4">
              <w:t>28134,49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-5,5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-16288,39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4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>«Прибрежный -2» Строящийся дом №4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15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3,0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>
              <w:t>28137,24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7,4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5954B4">
              <w:t>13881,0</w:t>
            </w:r>
            <w:r>
              <w:t>4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-7,6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-14256,2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5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>«Прибрежный -2» Построенный дом №5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9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1,29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F2293D">
              <w:t>4152,94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6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 xml:space="preserve">Построенный дом №15 по </w:t>
            </w:r>
            <w:proofErr w:type="spellStart"/>
            <w:r>
              <w:t>пр-ту</w:t>
            </w:r>
            <w:proofErr w:type="spellEnd"/>
            <w:r>
              <w:t xml:space="preserve"> Королева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14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2,89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0876AC">
              <w:t>13725,20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7,3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0E0D03">
              <w:t>7156,71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-6,7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-6568,49</w:t>
            </w:r>
          </w:p>
        </w:tc>
      </w:tr>
      <w:tr w:rsidR="00E61255" w:rsidTr="008169BA">
        <w:tc>
          <w:tcPr>
            <w:tcW w:w="329" w:type="dxa"/>
            <w:vAlign w:val="center"/>
          </w:tcPr>
          <w:p w:rsidR="00E61255" w:rsidRDefault="00E61255" w:rsidP="008169BA">
            <w:pPr>
              <w:ind w:left="0"/>
              <w:jc w:val="center"/>
            </w:pPr>
            <w:r>
              <w:t>7</w:t>
            </w:r>
          </w:p>
        </w:tc>
        <w:tc>
          <w:tcPr>
            <w:tcW w:w="2723" w:type="dxa"/>
          </w:tcPr>
          <w:p w:rsidR="00E61255" w:rsidRDefault="00E61255" w:rsidP="008169BA">
            <w:pPr>
              <w:ind w:left="85" w:right="141"/>
              <w:jc w:val="left"/>
            </w:pPr>
            <w:r>
              <w:t xml:space="preserve">Построенный дом по </w:t>
            </w:r>
            <w:proofErr w:type="spellStart"/>
            <w:r>
              <w:t>пр-ту</w:t>
            </w:r>
            <w:proofErr w:type="spellEnd"/>
            <w:r>
              <w:t xml:space="preserve"> Королева</w:t>
            </w:r>
          </w:p>
        </w:tc>
        <w:tc>
          <w:tcPr>
            <w:tcW w:w="678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14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2,86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422662">
              <w:t>11376,93</w:t>
            </w:r>
          </w:p>
        </w:tc>
        <w:tc>
          <w:tcPr>
            <w:tcW w:w="67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7,4</w:t>
            </w:r>
          </w:p>
        </w:tc>
        <w:tc>
          <w:tcPr>
            <w:tcW w:w="653" w:type="dxa"/>
            <w:vAlign w:val="center"/>
          </w:tcPr>
          <w:p w:rsidR="00E61255" w:rsidRDefault="00E61255" w:rsidP="008169BA">
            <w:pPr>
              <w:ind w:left="0" w:right="57"/>
              <w:jc w:val="right"/>
            </w:pPr>
            <w:r>
              <w:t>1,5</w:t>
            </w:r>
          </w:p>
        </w:tc>
        <w:tc>
          <w:tcPr>
            <w:tcW w:w="985" w:type="dxa"/>
            <w:vAlign w:val="center"/>
          </w:tcPr>
          <w:p w:rsidR="00E61255" w:rsidRPr="001860C4" w:rsidRDefault="00E61255" w:rsidP="008169BA">
            <w:pPr>
              <w:ind w:left="0" w:right="57"/>
              <w:jc w:val="right"/>
            </w:pPr>
            <w:r w:rsidRPr="00422662">
              <w:t>6013,52</w:t>
            </w:r>
          </w:p>
        </w:tc>
        <w:tc>
          <w:tcPr>
            <w:tcW w:w="681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-6,6</w:t>
            </w:r>
          </w:p>
        </w:tc>
        <w:tc>
          <w:tcPr>
            <w:tcW w:w="1123" w:type="dxa"/>
            <w:vAlign w:val="center"/>
          </w:tcPr>
          <w:p w:rsidR="00E61255" w:rsidRPr="00025955" w:rsidRDefault="00E61255" w:rsidP="008169BA">
            <w:pPr>
              <w:ind w:left="0" w:right="57"/>
              <w:jc w:val="right"/>
            </w:pPr>
            <w:r w:rsidRPr="00025955">
              <w:t>-5363,41</w:t>
            </w:r>
          </w:p>
        </w:tc>
      </w:tr>
    </w:tbl>
    <w:p w:rsidR="00591299" w:rsidRDefault="00591299" w:rsidP="00CB3E0A">
      <w:pPr>
        <w:ind w:firstLine="426"/>
        <w:jc w:val="left"/>
      </w:pPr>
    </w:p>
    <w:p w:rsidR="00591299" w:rsidRDefault="00591299" w:rsidP="00E61255">
      <w:pPr>
        <w:jc w:val="left"/>
      </w:pPr>
    </w:p>
    <w:p w:rsidR="00375F44" w:rsidRDefault="00E61255" w:rsidP="00375F44">
      <w:pPr>
        <w:ind w:firstLine="426"/>
        <w:jc w:val="both"/>
      </w:pPr>
      <w:r w:rsidRPr="00E61255">
        <w:t>2.  Один из предельных параметров разрешенного строительства для зоны жилой застройки</w:t>
      </w:r>
      <w:r>
        <w:t xml:space="preserve"> высокой этажности (Ж-4) </w:t>
      </w:r>
      <w:r w:rsidR="00B25564">
        <w:t>«</w:t>
      </w:r>
      <w:r w:rsidR="00B25564" w:rsidRPr="00B25564">
        <w:rPr>
          <w:b/>
        </w:rPr>
        <w:t xml:space="preserve">максимальное </w:t>
      </w:r>
      <w:r w:rsidRPr="00B25564">
        <w:rPr>
          <w:b/>
        </w:rPr>
        <w:t>количество этажей</w:t>
      </w:r>
      <w:r w:rsidR="00B25564">
        <w:rPr>
          <w:b/>
        </w:rPr>
        <w:t>»</w:t>
      </w:r>
      <w:r>
        <w:t xml:space="preserve"> ограничен </w:t>
      </w:r>
      <w:r w:rsidRPr="00E61255">
        <w:t>количество</w:t>
      </w:r>
      <w:r w:rsidR="00B25564">
        <w:t>м</w:t>
      </w:r>
      <w:r w:rsidRPr="00E61255">
        <w:t xml:space="preserve"> надземных этажей – </w:t>
      </w:r>
      <w:r w:rsidRPr="009F03B4">
        <w:rPr>
          <w:b/>
        </w:rPr>
        <w:t>16</w:t>
      </w:r>
      <w:r w:rsidR="00375F44">
        <w:t>.</w:t>
      </w:r>
    </w:p>
    <w:p w:rsidR="009F03B4" w:rsidRDefault="009F03B4" w:rsidP="00375F44">
      <w:pPr>
        <w:ind w:firstLine="426"/>
        <w:jc w:val="both"/>
      </w:pPr>
      <w:r>
        <w:t>Также в новых ПЗЗ сказано: «П</w:t>
      </w:r>
      <w:r w:rsidRPr="009F03B4">
        <w:t xml:space="preserve">ри получении разрешения на отклонение от предельных параметров разрешенного строительства, реконструкции объектов капитального строительства максимальное количество надземных этажей, установленное градостроительным регламентом, </w:t>
      </w:r>
      <w:r w:rsidRPr="00AF522A">
        <w:rPr>
          <w:b/>
        </w:rPr>
        <w:t>не может быть изменено в большую сторону</w:t>
      </w:r>
      <w:r>
        <w:t>».</w:t>
      </w:r>
    </w:p>
    <w:p w:rsidR="00591299" w:rsidRDefault="00B25564" w:rsidP="00375F44">
      <w:pPr>
        <w:ind w:firstLine="426"/>
        <w:jc w:val="both"/>
      </w:pPr>
      <w:r>
        <w:t xml:space="preserve">С учетом определения СП </w:t>
      </w:r>
      <w:r w:rsidRPr="00375F44">
        <w:t>54.13330.2016</w:t>
      </w:r>
      <w:r>
        <w:t xml:space="preserve"> в количество надземных этажей могут входить цокольный и верхний технический этажи. Фактически в зоне Ж-4 </w:t>
      </w:r>
      <w:proofErr w:type="gramStart"/>
      <w:r w:rsidR="00375F44">
        <w:t>по</w:t>
      </w:r>
      <w:proofErr w:type="gramEnd"/>
      <w:r w:rsidR="00375F44">
        <w:t xml:space="preserve"> новым ПЗЗ </w:t>
      </w:r>
      <w:r>
        <w:t xml:space="preserve">можно будет </w:t>
      </w:r>
      <w:r>
        <w:lastRenderedPageBreak/>
        <w:t xml:space="preserve">разместить не более 15 жилых этажей. </w:t>
      </w:r>
      <w:r w:rsidR="00375F44">
        <w:t>П</w:t>
      </w:r>
      <w:r w:rsidR="00375F44" w:rsidRPr="00375F44">
        <w:t>о федеральному классификатору видов разрешенного использования (приказ Минэкономразвития № 540 от 01.09.2014) вид разрешенного использования «</w:t>
      </w:r>
      <w:proofErr w:type="gramStart"/>
      <w:r w:rsidR="00375F44" w:rsidRPr="00375F44">
        <w:t>жилая</w:t>
      </w:r>
      <w:proofErr w:type="gramEnd"/>
      <w:r w:rsidR="00375F44" w:rsidRPr="00375F44">
        <w:t xml:space="preserve"> застройки высокой этажности» (код 2.6) предусматривает «Размещение многоквартирных домов девять этажей и выше»</w:t>
      </w:r>
      <w:r w:rsidR="00375F44">
        <w:t>, ограничения нет</w:t>
      </w:r>
      <w:r w:rsidR="00375F44" w:rsidRPr="00375F44">
        <w:t xml:space="preserve">. </w:t>
      </w:r>
      <w:r w:rsidR="00375F44">
        <w:t xml:space="preserve">В Екатеринбурге, например, высота зданий в зоне </w:t>
      </w:r>
      <w:r w:rsidR="00375F44" w:rsidRPr="00375F44">
        <w:t xml:space="preserve">застройки высокой этажности </w:t>
      </w:r>
      <w:r w:rsidR="00375F44">
        <w:t xml:space="preserve">ограничена 100 метрами и может быть превышена при определенных условиях. </w:t>
      </w:r>
      <w:r w:rsidR="00375F44" w:rsidRPr="00375F44">
        <w:t>Стыдно для миллионного города ограничивать этажность 1</w:t>
      </w:r>
      <w:r w:rsidR="00375F44">
        <w:t>6</w:t>
      </w:r>
      <w:r w:rsidR="00375F44" w:rsidRPr="00375F44">
        <w:t xml:space="preserve"> наземными этажами.</w:t>
      </w:r>
    </w:p>
    <w:p w:rsidR="00C2421D" w:rsidRDefault="00C2421D" w:rsidP="00375F44">
      <w:pPr>
        <w:ind w:firstLine="426"/>
        <w:jc w:val="both"/>
      </w:pPr>
      <w:r>
        <w:t>Также по непонятным причинам ограничено количество надземных этажей:</w:t>
      </w:r>
    </w:p>
    <w:p w:rsidR="00C2421D" w:rsidRDefault="00374FA1" w:rsidP="00374FA1">
      <w:pPr>
        <w:jc w:val="both"/>
      </w:pPr>
      <w:r>
        <w:t>-</w:t>
      </w:r>
      <w:r w:rsidR="00C2421D">
        <w:t>для гаражей ограничились 4 этажами (по СП допускается 9 этажей);</w:t>
      </w:r>
    </w:p>
    <w:p w:rsidR="00C2421D" w:rsidRDefault="00374FA1" w:rsidP="00374FA1">
      <w:pPr>
        <w:jc w:val="both"/>
      </w:pPr>
      <w:r>
        <w:t>-</w:t>
      </w:r>
      <w:r w:rsidR="00C2421D">
        <w:t>для гостиниц ограничились 8 этажами (по СП без получения СТУ 50 м);</w:t>
      </w:r>
    </w:p>
    <w:p w:rsidR="00C2421D" w:rsidRDefault="00374FA1" w:rsidP="00374FA1">
      <w:pPr>
        <w:jc w:val="both"/>
      </w:pPr>
      <w:r>
        <w:t>-</w:t>
      </w:r>
      <w:r w:rsidR="00C2421D">
        <w:t>для служебных гаражей всего 2 этажа,</w:t>
      </w:r>
    </w:p>
    <w:p w:rsidR="00C2421D" w:rsidRDefault="00374FA1" w:rsidP="00374FA1">
      <w:pPr>
        <w:jc w:val="both"/>
      </w:pPr>
      <w:r>
        <w:t>-</w:t>
      </w:r>
      <w:r w:rsidR="00C2421D">
        <w:t>и так далее.</w:t>
      </w:r>
    </w:p>
    <w:p w:rsidR="009F03B4" w:rsidRDefault="009F03B4" w:rsidP="00375F44">
      <w:pPr>
        <w:ind w:firstLine="426"/>
        <w:jc w:val="both"/>
      </w:pPr>
    </w:p>
    <w:p w:rsidR="00871EC2" w:rsidRDefault="009F03B4" w:rsidP="009F03B4">
      <w:pPr>
        <w:ind w:firstLine="426"/>
        <w:jc w:val="both"/>
      </w:pPr>
      <w:r>
        <w:t>3</w:t>
      </w:r>
      <w:r w:rsidRPr="00E61255">
        <w:t xml:space="preserve">.  </w:t>
      </w:r>
      <w:r>
        <w:t>Серьезным ограничителем для застройщика будет ужесточение такого параметра как «</w:t>
      </w:r>
      <w:r w:rsidRPr="009F03B4">
        <w:rPr>
          <w:b/>
        </w:rPr>
        <w:t>минимальная площадь озеленения</w:t>
      </w:r>
      <w:r>
        <w:t xml:space="preserve">». Для </w:t>
      </w:r>
      <w:r w:rsidR="00871EC2">
        <w:t>малоэтажной</w:t>
      </w:r>
      <w:r>
        <w:t xml:space="preserve">, </w:t>
      </w:r>
      <w:proofErr w:type="spellStart"/>
      <w:r>
        <w:t>среднеэтажной</w:t>
      </w:r>
      <w:proofErr w:type="spellEnd"/>
      <w:r>
        <w:t xml:space="preserve"> и многоэтажной жилой застройки (коды 2.1.1, 2.5, 2.6), а также для домов </w:t>
      </w:r>
      <w:proofErr w:type="spellStart"/>
      <w:r>
        <w:t>соцобслуживания</w:t>
      </w:r>
      <w:proofErr w:type="spellEnd"/>
      <w:r>
        <w:t xml:space="preserve"> и общежитий </w:t>
      </w:r>
      <w:r w:rsidR="00871EC2">
        <w:t xml:space="preserve">предусматривается </w:t>
      </w:r>
      <w:r w:rsidR="00871EC2" w:rsidRPr="00871EC2">
        <w:rPr>
          <w:b/>
        </w:rPr>
        <w:t>0,3 кв. м</w:t>
      </w:r>
      <w:r w:rsidR="00871EC2">
        <w:t xml:space="preserve"> озеленения на 1 кв. м площади здания.</w:t>
      </w:r>
    </w:p>
    <w:p w:rsidR="009F03B4" w:rsidRDefault="00871EC2" w:rsidP="009F03B4">
      <w:pPr>
        <w:ind w:firstLine="426"/>
        <w:jc w:val="both"/>
      </w:pPr>
      <w:r>
        <w:t>Ранее площадь озеленения предусматривалась в местных нормативах градостроительного проектирования из расчета 2 кв. м на 1 жителя. Допускалось также определять население из расчета 32,9 кв</w:t>
      </w:r>
      <w:proofErr w:type="gramStart"/>
      <w:r>
        <w:t>.м</w:t>
      </w:r>
      <w:proofErr w:type="gramEnd"/>
      <w:r>
        <w:t xml:space="preserve">/чел. Получалось 2/32,9=0,06 кв.м озеленения/чел. Фактически минимальная площадь озеленения увеличилась </w:t>
      </w:r>
      <w:r w:rsidRPr="00871EC2">
        <w:rPr>
          <w:b/>
        </w:rPr>
        <w:t>в 5 раз</w:t>
      </w:r>
      <w:r>
        <w:t xml:space="preserve"> по отношению к ранее действующим правилам.</w:t>
      </w:r>
    </w:p>
    <w:p w:rsidR="00374FA1" w:rsidRDefault="00192E88" w:rsidP="009F03B4">
      <w:pPr>
        <w:ind w:firstLine="426"/>
        <w:jc w:val="both"/>
      </w:pPr>
      <w:r>
        <w:t xml:space="preserve">% озеленения участков общественных зданий в ряде случаев </w:t>
      </w:r>
      <w:proofErr w:type="gramStart"/>
      <w:r>
        <w:t>завышен</w:t>
      </w:r>
      <w:proofErr w:type="gramEnd"/>
      <w:r w:rsidR="00025955">
        <w:t>.</w:t>
      </w:r>
      <w:r>
        <w:t xml:space="preserve"> </w:t>
      </w:r>
      <w:r w:rsidR="00025955">
        <w:t>Например,</w:t>
      </w:r>
      <w:r>
        <w:t xml:space="preserve"> зачем озеленять 20 % площади земельного участка объектов торговли</w:t>
      </w:r>
      <w:r w:rsidR="004A1142">
        <w:t>?</w:t>
      </w:r>
    </w:p>
    <w:p w:rsidR="004A1142" w:rsidRDefault="004A1142" w:rsidP="009F03B4">
      <w:pPr>
        <w:ind w:firstLine="426"/>
        <w:jc w:val="both"/>
      </w:pPr>
      <w:r>
        <w:t>Не ясно, что подразумевается под охранными зонами объектов коммунального обслуживания, в которых новыми ПЗЗ запрещается озеленение.</w:t>
      </w:r>
    </w:p>
    <w:p w:rsidR="004A1142" w:rsidRDefault="004A1142" w:rsidP="009F03B4">
      <w:pPr>
        <w:ind w:firstLine="426"/>
        <w:jc w:val="both"/>
      </w:pPr>
      <w:r>
        <w:t>Пересмотреть требования к озеленению подземных частей зданий и кровель. В сторону уменьшения грунтового стоя вплоть до возможности сезонной установки только вазонов и элементов вертикального озеленения.</w:t>
      </w:r>
    </w:p>
    <w:p w:rsidR="00871EC2" w:rsidRDefault="00871EC2" w:rsidP="009F03B4">
      <w:pPr>
        <w:ind w:firstLine="426"/>
        <w:jc w:val="both"/>
      </w:pPr>
    </w:p>
    <w:p w:rsidR="00871EC2" w:rsidRDefault="00871EC2" w:rsidP="00871EC2">
      <w:pPr>
        <w:ind w:firstLine="426"/>
        <w:jc w:val="both"/>
      </w:pPr>
      <w:r>
        <w:t>4</w:t>
      </w:r>
      <w:r w:rsidRPr="00E61255">
        <w:t xml:space="preserve">.  </w:t>
      </w:r>
      <w:r>
        <w:t>Значительно ужесточается такой параметр как «</w:t>
      </w:r>
      <w:r w:rsidRPr="00871EC2">
        <w:rPr>
          <w:b/>
        </w:rPr>
        <w:t>Минимальное количество мест стоянки (парковки) индивидуального автотранспорта в границах земельного участка</w:t>
      </w:r>
      <w:r>
        <w:t xml:space="preserve">». Для малоэтажной, </w:t>
      </w:r>
      <w:proofErr w:type="spellStart"/>
      <w:r>
        <w:t>среднеэтажной</w:t>
      </w:r>
      <w:proofErr w:type="spellEnd"/>
      <w:r>
        <w:t xml:space="preserve"> и многоэтажной жилой застройки (коды 2.1.1, 2.5, 2.6) предусматривается </w:t>
      </w:r>
      <w:r w:rsidRPr="00871EC2">
        <w:rPr>
          <w:b/>
        </w:rPr>
        <w:t xml:space="preserve">1 </w:t>
      </w:r>
      <w:proofErr w:type="spellStart"/>
      <w:r w:rsidRPr="00871EC2">
        <w:rPr>
          <w:b/>
        </w:rPr>
        <w:t>машино-место</w:t>
      </w:r>
      <w:proofErr w:type="spellEnd"/>
      <w:r w:rsidRPr="00871EC2">
        <w:rPr>
          <w:b/>
        </w:rPr>
        <w:t xml:space="preserve"> на 60 кв. м общей площади жилья</w:t>
      </w:r>
      <w:r>
        <w:t>.</w:t>
      </w:r>
    </w:p>
    <w:p w:rsidR="009F03B4" w:rsidRDefault="00871EC2" w:rsidP="00375F44">
      <w:pPr>
        <w:ind w:firstLine="426"/>
        <w:jc w:val="both"/>
      </w:pPr>
      <w:r>
        <w:t>Этот параметр определен по всей видимости исходя из уровня автомобилизации 400 автомобилей на 1000 жителей и норме жилищной обеспеченности 24 кв</w:t>
      </w:r>
      <w:proofErr w:type="gramStart"/>
      <w:r>
        <w:t>.м</w:t>
      </w:r>
      <w:proofErr w:type="gramEnd"/>
      <w:r>
        <w:t xml:space="preserve">/чел. </w:t>
      </w:r>
      <w:r w:rsidR="00AD0B10">
        <w:t>60</w:t>
      </w:r>
      <w:r w:rsidR="00AF522A">
        <w:t>*</w:t>
      </w:r>
      <w:r w:rsidR="00AD0B10">
        <w:t>(400/1000)</w:t>
      </w:r>
      <w:r>
        <w:t>=</w:t>
      </w:r>
      <w:r w:rsidR="00AD0B10">
        <w:t>24.</w:t>
      </w:r>
    </w:p>
    <w:p w:rsidR="00AD0B10" w:rsidRPr="00AD0B10" w:rsidRDefault="00AD0B10" w:rsidP="00AD0B10">
      <w:pPr>
        <w:ind w:firstLine="426"/>
        <w:jc w:val="both"/>
      </w:pP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ПЗЗ </w:t>
      </w:r>
      <w:r w:rsidR="00025955">
        <w:t>п</w:t>
      </w:r>
      <w:r w:rsidRPr="00AD0B10">
        <w:t xml:space="preserve">арковочные места в границах земельных участков объектов жилого назначения необходимо предусматривать с учетом обеспеченности: </w:t>
      </w:r>
    </w:p>
    <w:p w:rsidR="00AD0B10" w:rsidRPr="00AD0B10" w:rsidRDefault="00AD0B10" w:rsidP="00AF522A">
      <w:pPr>
        <w:jc w:val="both"/>
      </w:pPr>
      <w:r>
        <w:t>-</w:t>
      </w:r>
      <w:r w:rsidRPr="00AD0B10">
        <w:t xml:space="preserve">для индивидуальной жилой застройки – 100% от потребности; </w:t>
      </w:r>
      <w:r w:rsidR="00AF522A">
        <w:t xml:space="preserve">(т.е. </w:t>
      </w:r>
      <w:r>
        <w:t>400</w:t>
      </w:r>
      <w:r w:rsidR="00AF522A">
        <w:t xml:space="preserve"> </w:t>
      </w:r>
      <w:r>
        <w:t>авто/1000жит.)</w:t>
      </w:r>
    </w:p>
    <w:p w:rsidR="00AD0B10" w:rsidRPr="00AD0B10" w:rsidRDefault="00AD0B10" w:rsidP="00AF522A">
      <w:pPr>
        <w:jc w:val="both"/>
      </w:pPr>
      <w:r>
        <w:t>-</w:t>
      </w:r>
      <w:r w:rsidRPr="00AD0B10">
        <w:t>для малоэтажной застройки – 90% от потребности</w:t>
      </w:r>
      <w:r w:rsidR="00AF522A" w:rsidRPr="00AD0B10">
        <w:t xml:space="preserve">; </w:t>
      </w:r>
      <w:r w:rsidR="00AF522A">
        <w:t>(т.е. 360 авто/1000жит.)</w:t>
      </w:r>
      <w:r w:rsidRPr="00AD0B10">
        <w:t xml:space="preserve"> </w:t>
      </w:r>
    </w:p>
    <w:p w:rsidR="00AD0B10" w:rsidRPr="00AD0B10" w:rsidRDefault="00AD0B10" w:rsidP="00AF522A">
      <w:pPr>
        <w:jc w:val="both"/>
      </w:pPr>
      <w:r>
        <w:t>-</w:t>
      </w:r>
      <w:r w:rsidRPr="00AD0B10">
        <w:t xml:space="preserve">для </w:t>
      </w:r>
      <w:proofErr w:type="spellStart"/>
      <w:r w:rsidRPr="00AD0B10">
        <w:t>среднеэтажной</w:t>
      </w:r>
      <w:proofErr w:type="spellEnd"/>
      <w:r w:rsidRPr="00AD0B10">
        <w:t xml:space="preserve"> застройки – 70% от потребности;</w:t>
      </w:r>
      <w:r w:rsidR="00AF522A">
        <w:t xml:space="preserve"> (т.е. 280 авто/1000жит.)</w:t>
      </w:r>
      <w:r w:rsidR="00AF522A" w:rsidRPr="00AD0B10">
        <w:t xml:space="preserve"> </w:t>
      </w:r>
      <w:r w:rsidRPr="00AD0B10">
        <w:t xml:space="preserve"> </w:t>
      </w:r>
    </w:p>
    <w:p w:rsidR="00AD0B10" w:rsidRPr="00AD0B10" w:rsidRDefault="00AD0B10" w:rsidP="00AF522A">
      <w:pPr>
        <w:jc w:val="both"/>
      </w:pPr>
      <w:r>
        <w:t>-</w:t>
      </w:r>
      <w:r w:rsidRPr="00AD0B10">
        <w:t>для многоэтажной застройки – 50% от потребности</w:t>
      </w:r>
      <w:proofErr w:type="gramStart"/>
      <w:r w:rsidRPr="00AD0B10">
        <w:t>.</w:t>
      </w:r>
      <w:proofErr w:type="gramEnd"/>
      <w:r w:rsidRPr="00AD0B10">
        <w:t xml:space="preserve"> </w:t>
      </w:r>
      <w:r w:rsidR="00AF522A">
        <w:t>(</w:t>
      </w:r>
      <w:proofErr w:type="gramStart"/>
      <w:r w:rsidR="00AF522A">
        <w:t>т</w:t>
      </w:r>
      <w:proofErr w:type="gramEnd"/>
      <w:r w:rsidR="00AF522A">
        <w:t>.е. 200 авто/1000жит.)</w:t>
      </w:r>
    </w:p>
    <w:p w:rsidR="00AD0B10" w:rsidRDefault="00AD0B10" w:rsidP="00375F44">
      <w:pPr>
        <w:ind w:firstLine="426"/>
        <w:jc w:val="both"/>
      </w:pPr>
      <w:r>
        <w:t>Ранее</w:t>
      </w:r>
      <w:bookmarkStart w:id="0" w:name="_GoBack"/>
      <w:bookmarkEnd w:id="0"/>
      <w:r>
        <w:t xml:space="preserve"> в местных нормативах градостроительного проектирования в границе земельного участка (или в 100м от него) требовалось разместить 100 автомобилей на 1000 </w:t>
      </w:r>
      <w:r w:rsidR="00AF522A">
        <w:t xml:space="preserve">жителей. </w:t>
      </w:r>
      <w:r w:rsidR="00AF522A" w:rsidRPr="00025955">
        <w:rPr>
          <w:b/>
        </w:rPr>
        <w:t>Фактически минимальное количество парковок на земельном участке увеличилось</w:t>
      </w:r>
      <w:r w:rsidR="00AF522A">
        <w:t xml:space="preserve"> </w:t>
      </w:r>
      <w:r w:rsidR="00AF522A" w:rsidRPr="00AF522A">
        <w:rPr>
          <w:b/>
        </w:rPr>
        <w:t>в 2-3,6 раза</w:t>
      </w:r>
      <w:r w:rsidR="00AF522A">
        <w:t>.</w:t>
      </w:r>
    </w:p>
    <w:p w:rsidR="00374FA1" w:rsidRDefault="00374FA1" w:rsidP="00375F44">
      <w:pPr>
        <w:ind w:firstLine="426"/>
        <w:jc w:val="both"/>
      </w:pPr>
      <w:r>
        <w:t>Еще одной из новаций новых ПЗЗ является предписание выделения 10% от размещенных стоянок при жилых домах для специальных автотранспортных средств инвалидов. В действующих СП это требование распространяется только на стоянки у зданий организаций сферы услуг.</w:t>
      </w:r>
    </w:p>
    <w:p w:rsidR="00192E88" w:rsidRDefault="00192E88" w:rsidP="00375F44">
      <w:pPr>
        <w:ind w:firstLine="426"/>
        <w:jc w:val="both"/>
      </w:pPr>
      <w:r>
        <w:t>При беглом просмотре видно, что увеличилось минимальное количество парковок для некоторых общественных зданий.</w:t>
      </w:r>
    </w:p>
    <w:p w:rsidR="00AF522A" w:rsidRDefault="00AF522A" w:rsidP="00375F44">
      <w:pPr>
        <w:ind w:firstLine="426"/>
        <w:jc w:val="both"/>
      </w:pPr>
    </w:p>
    <w:p w:rsidR="00AF522A" w:rsidRDefault="00AF522A" w:rsidP="00AF522A">
      <w:pPr>
        <w:ind w:firstLine="426"/>
        <w:jc w:val="both"/>
      </w:pPr>
      <w:r>
        <w:t>5</w:t>
      </w:r>
      <w:r w:rsidRPr="00E61255">
        <w:t xml:space="preserve">.  </w:t>
      </w:r>
      <w:proofErr w:type="gramStart"/>
      <w:r w:rsidR="00653262">
        <w:t>В новых ПЗЗ р</w:t>
      </w:r>
      <w:r>
        <w:t xml:space="preserve">азмещение жилого дома на земельном участке с видами разрешенного использования Малоэтажная, </w:t>
      </w:r>
      <w:proofErr w:type="spellStart"/>
      <w:r>
        <w:t>среднеэтажная</w:t>
      </w:r>
      <w:proofErr w:type="spellEnd"/>
      <w:r>
        <w:t xml:space="preserve">, многоэтажная жилая застройка (коды 2.1.1, </w:t>
      </w:r>
      <w:r w:rsidR="00653262">
        <w:t>2.5, 2.6</w:t>
      </w:r>
      <w:r>
        <w:t>), допускается при возможности их обеспечения следующими объектами обслуживания населения: поликлиники, детские сады, школы, объекты дополнительного образования.</w:t>
      </w:r>
      <w:proofErr w:type="gramEnd"/>
    </w:p>
    <w:p w:rsidR="00AF522A" w:rsidRDefault="00AF522A" w:rsidP="00AF522A">
      <w:pPr>
        <w:ind w:firstLine="426"/>
        <w:jc w:val="both"/>
      </w:pPr>
      <w:r>
        <w:lastRenderedPageBreak/>
        <w:t xml:space="preserve">Возможность обеспечения объектами обслуживания жилой застройки </w:t>
      </w:r>
      <w:r w:rsidR="00653262">
        <w:t xml:space="preserve">должна </w:t>
      </w:r>
      <w:r>
        <w:t>подтверждается наличием одного из следующих документов:</w:t>
      </w:r>
    </w:p>
    <w:p w:rsidR="00AF522A" w:rsidRDefault="00653262" w:rsidP="00AF522A">
      <w:pPr>
        <w:ind w:firstLine="426"/>
        <w:jc w:val="both"/>
      </w:pPr>
      <w:r>
        <w:t>-</w:t>
      </w:r>
      <w:r w:rsidR="00AF522A">
        <w:t>утвержденной документацией по планировке территории, в составе которой предусмотрено размещение объектов обслуживания жилой застройки, указанных в</w:t>
      </w:r>
      <w:r>
        <w:t>ыше</w:t>
      </w:r>
      <w:r w:rsidR="00AF522A">
        <w:t>, при условии, что данные объекты включены в Адресную инвестиционную программу либо создание указанных объектов подтверждается документом, из которого следуют обязательства физических или юридических лиц по созданию таких объектов;</w:t>
      </w:r>
    </w:p>
    <w:p w:rsidR="00AF522A" w:rsidRDefault="00653262" w:rsidP="00AF522A">
      <w:pPr>
        <w:ind w:firstLine="426"/>
        <w:jc w:val="both"/>
      </w:pPr>
      <w:r>
        <w:t>-</w:t>
      </w:r>
      <w:r w:rsidR="00AF522A">
        <w:t>утвержденной Адресной инвестиционной программы, предусматривающей размещение объектов обслуживания жилой застройки.</w:t>
      </w:r>
    </w:p>
    <w:p w:rsidR="00653262" w:rsidRPr="00871EC2" w:rsidRDefault="00653262" w:rsidP="00AF522A">
      <w:pPr>
        <w:ind w:firstLine="426"/>
        <w:jc w:val="both"/>
      </w:pPr>
      <w:r>
        <w:t xml:space="preserve">Похоже, что инвестиционные программы и финансирование объектов обслуживания должен осуществлять инвестор строительства жилья, если с </w:t>
      </w:r>
      <w:proofErr w:type="spellStart"/>
      <w:r>
        <w:t>градпланом</w:t>
      </w:r>
      <w:proofErr w:type="spellEnd"/>
      <w:r>
        <w:t xml:space="preserve"> земельного участка не будет представлена </w:t>
      </w:r>
      <w:proofErr w:type="spellStart"/>
      <w:r>
        <w:t>инвестпрограмма</w:t>
      </w:r>
      <w:proofErr w:type="spellEnd"/>
      <w:r>
        <w:t xml:space="preserve"> администрации города или региона.</w:t>
      </w:r>
    </w:p>
    <w:p w:rsidR="009F03B4" w:rsidRDefault="009F03B4" w:rsidP="00375F44">
      <w:pPr>
        <w:ind w:firstLine="426"/>
        <w:jc w:val="both"/>
      </w:pPr>
    </w:p>
    <w:p w:rsidR="001636B0" w:rsidRPr="003610E6" w:rsidRDefault="001636B0" w:rsidP="003610E6">
      <w:pPr>
        <w:ind w:firstLine="426"/>
        <w:jc w:val="center"/>
        <w:rPr>
          <w:b/>
        </w:rPr>
      </w:pPr>
      <w:r w:rsidRPr="003610E6">
        <w:rPr>
          <w:b/>
        </w:rPr>
        <w:t>Предложения</w:t>
      </w:r>
      <w:r w:rsidR="00BD13BB" w:rsidRPr="003610E6">
        <w:rPr>
          <w:b/>
        </w:rPr>
        <w:t>:</w:t>
      </w:r>
    </w:p>
    <w:p w:rsidR="00BD13BB" w:rsidRDefault="00BD13BB" w:rsidP="00375F44">
      <w:pPr>
        <w:ind w:firstLine="426"/>
        <w:jc w:val="both"/>
      </w:pPr>
    </w:p>
    <w:p w:rsidR="00EB1B8F" w:rsidRDefault="00EB1B8F" w:rsidP="00375F44">
      <w:pPr>
        <w:ind w:firstLine="426"/>
        <w:jc w:val="both"/>
      </w:pPr>
      <w:r>
        <w:t>1</w:t>
      </w:r>
      <w:r w:rsidRPr="00E61255">
        <w:t xml:space="preserve">.  </w:t>
      </w:r>
      <w:r>
        <w:t>Пересмотреть в новостройках уровень обеспечен</w:t>
      </w:r>
      <w:r w:rsidR="004E0D7B">
        <w:t>ности жильем не менее 30-35 кв</w:t>
      </w:r>
      <w:proofErr w:type="gramStart"/>
      <w:r w:rsidR="004E0D7B">
        <w:t>.м</w:t>
      </w:r>
      <w:proofErr w:type="gramEnd"/>
      <w:r w:rsidR="004E0D7B">
        <w:t xml:space="preserve"> общей</w:t>
      </w:r>
      <w:r>
        <w:t xml:space="preserve"> площади</w:t>
      </w:r>
      <w:r w:rsidR="004E0D7B">
        <w:t xml:space="preserve"> на 1 жителя. Пересчитать с учетом этого </w:t>
      </w:r>
      <w:r w:rsidR="004E0D7B" w:rsidRPr="00CB3E0A">
        <w:rPr>
          <w:sz w:val="23"/>
          <w:szCs w:val="23"/>
        </w:rPr>
        <w:t>предельны</w:t>
      </w:r>
      <w:r w:rsidR="004E0D7B">
        <w:rPr>
          <w:sz w:val="23"/>
          <w:szCs w:val="23"/>
        </w:rPr>
        <w:t>е</w:t>
      </w:r>
      <w:r w:rsidR="004E0D7B" w:rsidRPr="00CB3E0A">
        <w:rPr>
          <w:sz w:val="23"/>
          <w:szCs w:val="23"/>
        </w:rPr>
        <w:t xml:space="preserve"> параметр</w:t>
      </w:r>
      <w:r w:rsidR="004E0D7B">
        <w:rPr>
          <w:sz w:val="23"/>
          <w:szCs w:val="23"/>
        </w:rPr>
        <w:t>ы</w:t>
      </w:r>
      <w:r w:rsidR="004E0D7B" w:rsidRPr="00CB3E0A">
        <w:rPr>
          <w:sz w:val="23"/>
          <w:szCs w:val="23"/>
        </w:rPr>
        <w:t xml:space="preserve"> разрешенного строительства</w:t>
      </w:r>
      <w:r w:rsidR="004E0D7B">
        <w:rPr>
          <w:sz w:val="23"/>
          <w:szCs w:val="23"/>
        </w:rPr>
        <w:t xml:space="preserve"> для зоны жилой застройки.</w:t>
      </w:r>
      <w:r w:rsidR="004E0D7B">
        <w:t xml:space="preserve"> </w:t>
      </w:r>
    </w:p>
    <w:p w:rsidR="004E0D7B" w:rsidRDefault="004E0D7B" w:rsidP="00375F44">
      <w:pPr>
        <w:ind w:firstLine="426"/>
        <w:jc w:val="both"/>
      </w:pPr>
    </w:p>
    <w:p w:rsidR="00BD13BB" w:rsidRDefault="004E0D7B" w:rsidP="00BD13BB">
      <w:pPr>
        <w:ind w:firstLine="426"/>
        <w:jc w:val="both"/>
      </w:pPr>
      <w:r>
        <w:t>2</w:t>
      </w:r>
      <w:r w:rsidR="00BD13BB" w:rsidRPr="00E61255">
        <w:t xml:space="preserve">.  </w:t>
      </w:r>
      <w:r w:rsidR="003610E6">
        <w:t>Предлагаем,</w:t>
      </w:r>
      <w:r>
        <w:t xml:space="preserve"> к</w:t>
      </w:r>
      <w:r w:rsidR="00BD13BB">
        <w:t xml:space="preserve">ак </w:t>
      </w:r>
      <w:r w:rsidR="00E71E50">
        <w:t xml:space="preserve">в </w:t>
      </w:r>
      <w:proofErr w:type="gramStart"/>
      <w:r w:rsidR="00E71E50">
        <w:t>г</w:t>
      </w:r>
      <w:proofErr w:type="gramEnd"/>
      <w:r w:rsidR="00E71E50">
        <w:t>.</w:t>
      </w:r>
      <w:r w:rsidR="00025955">
        <w:t xml:space="preserve"> </w:t>
      </w:r>
      <w:r w:rsidR="00BD13BB">
        <w:t>Екатеринбурге</w:t>
      </w:r>
      <w:r w:rsidR="003610E6">
        <w:t>,</w:t>
      </w:r>
      <w:r w:rsidR="00BD13BB">
        <w:t xml:space="preserve"> м</w:t>
      </w:r>
      <w:r w:rsidR="001636B0">
        <w:t>аксимальный коэффициент плотности жилой застройки</w:t>
      </w:r>
      <w:r w:rsidR="00BD13BB">
        <w:t xml:space="preserve"> заменить на </w:t>
      </w:r>
      <w:r w:rsidR="00BD13BB" w:rsidRPr="00BD13BB">
        <w:rPr>
          <w:b/>
        </w:rPr>
        <w:t>максимальный коэффициент строительного использования земельного участка</w:t>
      </w:r>
      <w:r w:rsidR="00BD13BB">
        <w:t xml:space="preserve"> </w:t>
      </w:r>
      <w:r w:rsidR="001636B0">
        <w:t xml:space="preserve"> </w:t>
      </w:r>
      <w:r w:rsidR="003610E6">
        <w:t xml:space="preserve">- </w:t>
      </w:r>
      <w:r w:rsidR="00BD13BB">
        <w:t xml:space="preserve">предельный параметр разрешенного строительства, реконструкции объектов капитального строительства, определяемый как отношение суммарной </w:t>
      </w:r>
      <w:r w:rsidR="00BD13BB" w:rsidRPr="00BD13BB">
        <w:rPr>
          <w:b/>
        </w:rPr>
        <w:t>общей площади</w:t>
      </w:r>
      <w:r w:rsidR="00BD13BB">
        <w:t xml:space="preserve"> надземной части всех объектов капитального строительства на земельном участке к общей площади земельного участка.</w:t>
      </w:r>
    </w:p>
    <w:p w:rsidR="001636B0" w:rsidRDefault="001636B0" w:rsidP="00BD13BB">
      <w:pPr>
        <w:ind w:firstLine="426"/>
        <w:jc w:val="both"/>
      </w:pPr>
      <w:r>
        <w:t>для зоны (Ж</w:t>
      </w:r>
      <w:r w:rsidR="00BD13BB">
        <w:t xml:space="preserve">-4) принять </w:t>
      </w:r>
      <w:r w:rsidR="00C2421D">
        <w:t>не менее 4,0.</w:t>
      </w:r>
    </w:p>
    <w:p w:rsidR="00C2421D" w:rsidRDefault="00C2421D" w:rsidP="00BD13BB">
      <w:pPr>
        <w:ind w:firstLine="426"/>
        <w:jc w:val="both"/>
      </w:pPr>
    </w:p>
    <w:p w:rsidR="00C2421D" w:rsidRDefault="004E0D7B" w:rsidP="00BD13BB">
      <w:pPr>
        <w:ind w:firstLine="426"/>
        <w:jc w:val="both"/>
      </w:pPr>
      <w:r>
        <w:t>3</w:t>
      </w:r>
      <w:r w:rsidR="00C2421D" w:rsidRPr="00E61255">
        <w:t xml:space="preserve">.  </w:t>
      </w:r>
      <w:r w:rsidR="00C2421D">
        <w:t>Убрать ограничение максимального количества этажей 16. Ограничить пожарно-технической высотой 75 м. Выше 75 м включить в условно-разрешенный вид по распоряжению мэра города.</w:t>
      </w:r>
    </w:p>
    <w:p w:rsidR="00C2421D" w:rsidRDefault="00C2421D" w:rsidP="00BD13BB">
      <w:pPr>
        <w:ind w:firstLine="426"/>
        <w:jc w:val="both"/>
      </w:pPr>
    </w:p>
    <w:p w:rsidR="0073621D" w:rsidRDefault="003610E6" w:rsidP="00BD13BB">
      <w:pPr>
        <w:ind w:firstLine="426"/>
        <w:jc w:val="both"/>
      </w:pPr>
      <w:r>
        <w:t>4</w:t>
      </w:r>
      <w:r w:rsidR="00EB1B8F" w:rsidRPr="00EB1B8F">
        <w:t>. Уменьшить минимальную площадь озеленения</w:t>
      </w:r>
      <w:r w:rsidR="00EB1B8F">
        <w:t xml:space="preserve"> для малоэтажной, </w:t>
      </w:r>
      <w:proofErr w:type="spellStart"/>
      <w:r w:rsidR="00EB1B8F">
        <w:t>среднеэтажной</w:t>
      </w:r>
      <w:proofErr w:type="spellEnd"/>
      <w:r w:rsidR="00EB1B8F">
        <w:t xml:space="preserve"> и многоэтажной жилой застройки (коды 2.1.1, 2.5, 2.6), а также для домов </w:t>
      </w:r>
      <w:proofErr w:type="spellStart"/>
      <w:r w:rsidR="00EB1B8F">
        <w:t>соцобслуживания</w:t>
      </w:r>
      <w:proofErr w:type="spellEnd"/>
      <w:r w:rsidR="00EB1B8F">
        <w:t xml:space="preserve"> и общежитий до </w:t>
      </w:r>
      <w:r w:rsidR="00EB1B8F" w:rsidRPr="00EB1B8F">
        <w:t>0,07 кв. м</w:t>
      </w:r>
      <w:r w:rsidR="00EB1B8F">
        <w:t xml:space="preserve"> озеленения на 1 кв. м площади здания с возможностью учета в площади озеленения сезонных установок вазонов и элементов вертикального озеленения. Исключить требования о толщине 1,5 м грунтового стоя на эксплуатируемых кровлях.</w:t>
      </w:r>
    </w:p>
    <w:p w:rsidR="004E0D7B" w:rsidRDefault="004E0D7B" w:rsidP="00BD13BB">
      <w:pPr>
        <w:ind w:firstLine="426"/>
        <w:jc w:val="both"/>
      </w:pPr>
    </w:p>
    <w:p w:rsidR="004E0D7B" w:rsidRDefault="003610E6" w:rsidP="00BD13BB">
      <w:pPr>
        <w:ind w:firstLine="426"/>
        <w:jc w:val="both"/>
      </w:pPr>
      <w:r>
        <w:t>5</w:t>
      </w:r>
      <w:r w:rsidR="004E0D7B" w:rsidRPr="00EB1B8F">
        <w:t xml:space="preserve">. </w:t>
      </w:r>
      <w:r w:rsidR="004E0D7B" w:rsidRPr="004E0D7B">
        <w:t>Минимальное количество мест стоянки (парковки) индивидуального автотранспорта в границах земельного участка привести в соответствие с местными норматива</w:t>
      </w:r>
      <w:r w:rsidR="004E0D7B">
        <w:t>м</w:t>
      </w:r>
      <w:r w:rsidR="004E0D7B" w:rsidRPr="004E0D7B">
        <w:t xml:space="preserve">и градостроительного проектирования </w:t>
      </w:r>
      <w:r w:rsidR="003E3E52">
        <w:t xml:space="preserve">- </w:t>
      </w:r>
      <w:r w:rsidR="004E0D7B" w:rsidRPr="004E0D7B">
        <w:t>100 автомобилей на 1000 жителе</w:t>
      </w:r>
      <w:r w:rsidR="004E0D7B">
        <w:t>й на расстоянии 100м от объекта</w:t>
      </w:r>
      <w:r w:rsidR="003E3E52">
        <w:t>.</w:t>
      </w:r>
      <w:r w:rsidR="004E0D7B">
        <w:t xml:space="preserve"> </w:t>
      </w:r>
      <w:r w:rsidR="003E3E52">
        <w:t>Считать, что о</w:t>
      </w:r>
      <w:r w:rsidR="004E0D7B">
        <w:t xml:space="preserve">стальные 300 автомобилей на 1000 жителей </w:t>
      </w:r>
      <w:r w:rsidR="003E3E52">
        <w:t xml:space="preserve">уже </w:t>
      </w:r>
      <w:r w:rsidR="004E0D7B">
        <w:t>разме</w:t>
      </w:r>
      <w:r w:rsidR="003E3E52">
        <w:t>щены</w:t>
      </w:r>
      <w:r w:rsidR="004E0D7B">
        <w:t xml:space="preserve"> в радиусе 1</w:t>
      </w:r>
      <w:r w:rsidR="003E3E52">
        <w:t>500</w:t>
      </w:r>
      <w:r w:rsidR="004E0D7B">
        <w:t>м</w:t>
      </w:r>
      <w:r w:rsidR="003E3E52">
        <w:t xml:space="preserve"> на площадках, предусмотренных проектами планировки</w:t>
      </w:r>
      <w:r w:rsidR="004E0D7B">
        <w:t>. Парковки МГН для жилых зданий сократить до 2% от количества размещенных.</w:t>
      </w:r>
    </w:p>
    <w:p w:rsidR="004E0D7B" w:rsidRDefault="004E0D7B" w:rsidP="00BD13BB">
      <w:pPr>
        <w:ind w:firstLine="426"/>
        <w:jc w:val="both"/>
      </w:pPr>
      <w:r>
        <w:t xml:space="preserve">Предусмотреть возможность беспрепятственного размещения </w:t>
      </w:r>
      <w:r w:rsidR="003E3E52">
        <w:t>парковочных</w:t>
      </w:r>
      <w:r>
        <w:t xml:space="preserve"> мест в карманах проездов</w:t>
      </w:r>
      <w:r w:rsidR="003E3E52">
        <w:t xml:space="preserve"> и</w:t>
      </w:r>
      <w:r>
        <w:t xml:space="preserve"> улиц</w:t>
      </w:r>
      <w:r w:rsidR="003E3E52">
        <w:t xml:space="preserve"> на территориях общего пользования вдоль границ земельного участка, в том числе «за красной линией» улицы.</w:t>
      </w:r>
    </w:p>
    <w:p w:rsidR="00E25229" w:rsidRDefault="00E25229" w:rsidP="00BD13BB">
      <w:pPr>
        <w:ind w:firstLine="426"/>
        <w:jc w:val="both"/>
      </w:pPr>
    </w:p>
    <w:p w:rsidR="00E25229" w:rsidRDefault="003610E6" w:rsidP="00E25229">
      <w:pPr>
        <w:ind w:firstLine="426"/>
        <w:jc w:val="both"/>
      </w:pPr>
      <w:r>
        <w:t>6</w:t>
      </w:r>
      <w:r w:rsidR="00E25229">
        <w:t xml:space="preserve">. Возможность размещения объектов жилой застройки не связывать с адресными инвестиционными программами по размещению объектов обслуживания жилой застройки руководствоваться только утвержденным генеральным планом города и утвержденной документацией по планировке </w:t>
      </w:r>
      <w:r w:rsidR="00E25229" w:rsidRPr="00E25229">
        <w:t>территории.</w:t>
      </w:r>
    </w:p>
    <w:p w:rsidR="00E25229" w:rsidRDefault="00E25229" w:rsidP="00E25229">
      <w:pPr>
        <w:ind w:firstLine="426"/>
        <w:jc w:val="both"/>
      </w:pPr>
      <w:r>
        <w:t>Финансирование объектов обслуживания не должен осуществлять инвестор строительства жилья.</w:t>
      </w:r>
    </w:p>
    <w:p w:rsidR="00EB1B8F" w:rsidRDefault="00EB1B8F" w:rsidP="00BD13BB">
      <w:pPr>
        <w:ind w:firstLine="426"/>
        <w:jc w:val="both"/>
      </w:pPr>
    </w:p>
    <w:p w:rsidR="003E3E52" w:rsidRDefault="003610E6" w:rsidP="00E25229">
      <w:pPr>
        <w:ind w:firstLine="426"/>
        <w:jc w:val="both"/>
        <w:rPr>
          <w:sz w:val="23"/>
          <w:szCs w:val="23"/>
        </w:rPr>
      </w:pPr>
      <w:r>
        <w:t>7</w:t>
      </w:r>
      <w:r w:rsidR="00EB1B8F">
        <w:t xml:space="preserve">. Предусмотреть процедуру возможности изменения любого из </w:t>
      </w:r>
      <w:r w:rsidR="00EB1B8F" w:rsidRPr="00CB3E0A">
        <w:rPr>
          <w:sz w:val="23"/>
          <w:szCs w:val="23"/>
        </w:rPr>
        <w:t xml:space="preserve">предельных параметров разрешенного строительства </w:t>
      </w:r>
      <w:r w:rsidR="00EB1B8F">
        <w:rPr>
          <w:sz w:val="23"/>
          <w:szCs w:val="23"/>
        </w:rPr>
        <w:t>по распоряжению мэра города.</w:t>
      </w:r>
    </w:p>
    <w:p w:rsidR="003372AC" w:rsidRDefault="003372AC" w:rsidP="00E25229">
      <w:pPr>
        <w:ind w:firstLine="426"/>
        <w:jc w:val="both"/>
        <w:rPr>
          <w:sz w:val="23"/>
          <w:szCs w:val="23"/>
        </w:rPr>
      </w:pPr>
    </w:p>
    <w:p w:rsidR="003372AC" w:rsidRPr="003372AC" w:rsidRDefault="003372AC" w:rsidP="003372AC">
      <w:pPr>
        <w:jc w:val="both"/>
        <w:rPr>
          <w:sz w:val="20"/>
          <w:szCs w:val="20"/>
        </w:rPr>
      </w:pPr>
      <w:r w:rsidRPr="003372A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    </w:t>
      </w:r>
      <w:r w:rsidRPr="003372AC">
        <w:rPr>
          <w:sz w:val="20"/>
          <w:szCs w:val="20"/>
        </w:rPr>
        <w:t xml:space="preserve">С.И. </w:t>
      </w:r>
      <w:proofErr w:type="spellStart"/>
      <w:r w:rsidRPr="003372AC">
        <w:rPr>
          <w:sz w:val="20"/>
          <w:szCs w:val="20"/>
        </w:rPr>
        <w:t>Шулепов</w:t>
      </w:r>
      <w:proofErr w:type="spellEnd"/>
    </w:p>
    <w:p w:rsidR="00591299" w:rsidRPr="00CB3E0A" w:rsidRDefault="003372AC" w:rsidP="003372AC">
      <w:pPr>
        <w:jc w:val="both"/>
      </w:pPr>
      <w:r>
        <w:rPr>
          <w:sz w:val="20"/>
          <w:szCs w:val="20"/>
        </w:rPr>
        <w:tab/>
      </w:r>
      <w:r w:rsidRPr="003372AC">
        <w:rPr>
          <w:sz w:val="20"/>
          <w:szCs w:val="20"/>
        </w:rPr>
        <w:t>В.С. Мальцев</w:t>
      </w:r>
    </w:p>
    <w:sectPr w:rsidR="00591299" w:rsidRPr="00CB3E0A" w:rsidSect="003610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AE4"/>
    <w:multiLevelType w:val="hybridMultilevel"/>
    <w:tmpl w:val="7278EAD8"/>
    <w:lvl w:ilvl="0" w:tplc="F5C408D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3811B9"/>
    <w:multiLevelType w:val="hybridMultilevel"/>
    <w:tmpl w:val="CFE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3E0A"/>
    <w:rsid w:val="00025955"/>
    <w:rsid w:val="001636B0"/>
    <w:rsid w:val="0017476F"/>
    <w:rsid w:val="00184B81"/>
    <w:rsid w:val="00192E88"/>
    <w:rsid w:val="0021010D"/>
    <w:rsid w:val="002759ED"/>
    <w:rsid w:val="003114E7"/>
    <w:rsid w:val="003372AC"/>
    <w:rsid w:val="003610E6"/>
    <w:rsid w:val="00374FA1"/>
    <w:rsid w:val="00375F44"/>
    <w:rsid w:val="00376D7E"/>
    <w:rsid w:val="003E3E52"/>
    <w:rsid w:val="0043710D"/>
    <w:rsid w:val="004A1142"/>
    <w:rsid w:val="004D69BC"/>
    <w:rsid w:val="004E0D7B"/>
    <w:rsid w:val="00591299"/>
    <w:rsid w:val="005973F1"/>
    <w:rsid w:val="00653262"/>
    <w:rsid w:val="00723114"/>
    <w:rsid w:val="0073621D"/>
    <w:rsid w:val="007C6B8C"/>
    <w:rsid w:val="00802539"/>
    <w:rsid w:val="008101C6"/>
    <w:rsid w:val="00871EC2"/>
    <w:rsid w:val="00985B93"/>
    <w:rsid w:val="009F03B4"/>
    <w:rsid w:val="00AD0B10"/>
    <w:rsid w:val="00AD13ED"/>
    <w:rsid w:val="00AF2A99"/>
    <w:rsid w:val="00AF522A"/>
    <w:rsid w:val="00B25564"/>
    <w:rsid w:val="00B661C5"/>
    <w:rsid w:val="00BD13BB"/>
    <w:rsid w:val="00C2421D"/>
    <w:rsid w:val="00CB3E0A"/>
    <w:rsid w:val="00D924CF"/>
    <w:rsid w:val="00E25229"/>
    <w:rsid w:val="00E61255"/>
    <w:rsid w:val="00E65CFB"/>
    <w:rsid w:val="00E71E50"/>
    <w:rsid w:val="00E930EF"/>
    <w:rsid w:val="00EB1B8F"/>
    <w:rsid w:val="00ED0327"/>
    <w:rsid w:val="00E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ind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0A"/>
    <w:pPr>
      <w:ind w:left="720"/>
      <w:contextualSpacing/>
    </w:pPr>
  </w:style>
  <w:style w:type="table" w:styleId="a4">
    <w:name w:val="Table Grid"/>
    <w:basedOn w:val="a1"/>
    <w:uiPriority w:val="59"/>
    <w:rsid w:val="00E61255"/>
    <w:pPr>
      <w:ind w:left="284" w:right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125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"Архитектурная мастерская "АМА"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Miheev.O</dc:creator>
  <cp:lastModifiedBy>Админ</cp:lastModifiedBy>
  <cp:revision>10</cp:revision>
  <cp:lastPrinted>2020-11-10T08:44:00Z</cp:lastPrinted>
  <dcterms:created xsi:type="dcterms:W3CDTF">2020-11-09T06:10:00Z</dcterms:created>
  <dcterms:modified xsi:type="dcterms:W3CDTF">2020-11-10T08:44:00Z</dcterms:modified>
</cp:coreProperties>
</file>